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</w:t>
      </w:r>
    </w:p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>
        <w:rPr>
          <w:rStyle w:val="cat-Dategrp-7rplc-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2 Ханты-Мансийского судебного 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3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, исполняя обязанности мирового судьи судебного участка №5 Ханты-Мансийского судебного района,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6"/>
          <w:szCs w:val="26"/>
        </w:rPr>
        <w:t>922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-2805/2026, возбужденное по ч.2 ст.8.37 Кодекса Российской Федерации об административных правонарушениях в отношении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Иврина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Style w:val="cat-UserDefinedgrp-26rplc-5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Style w:val="cat-ExternalSystemDefinedgrp-25rplc-6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Style w:val="cat-PassportDatagrp-20rplc-7"/>
          <w:rFonts w:ascii="Times New Roman" w:eastAsia="Times New Roman" w:hAnsi="Times New Roman" w:cs="Times New Roman"/>
          <w:b/>
          <w:bCs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проживающего по адресу: ХМАО – </w:t>
      </w:r>
      <w:r>
        <w:rPr>
          <w:rStyle w:val="cat-Addressgrp-2rplc-8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PassportDatagrp-21rplc-9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ExternalSystemDefinedgrp-24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23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сведений о привлечении к административной ответственности не имеется,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Style w:val="cat-Dategrp-8rplc-12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Style w:val="cat-Timegrp-22rplc-13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находясь на </w:t>
      </w:r>
      <w:r>
        <w:rPr>
          <w:rStyle w:val="cat-Sumgrp-18rplc-14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>Иртыш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вблизи в </w:t>
      </w:r>
      <w:r>
        <w:rPr>
          <w:rStyle w:val="cat-Addressgrp-3rplc-15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Иврин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7rplc-1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осуществлял вылов водных биологических ресурсов принадлежащего ему запрещенным орудием лова, а именно сеть плавная лесковая </w:t>
      </w:r>
      <w:r>
        <w:rPr>
          <w:rFonts w:ascii="Times New Roman" w:eastAsia="Times New Roman" w:hAnsi="Times New Roman" w:cs="Times New Roman"/>
          <w:sz w:val="26"/>
          <w:szCs w:val="26"/>
        </w:rPr>
        <w:t>100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 ячея </w:t>
      </w:r>
      <w:r>
        <w:rPr>
          <w:rFonts w:ascii="Times New Roman" w:eastAsia="Times New Roman" w:hAnsi="Times New Roman" w:cs="Times New Roman"/>
          <w:sz w:val="26"/>
          <w:szCs w:val="26"/>
        </w:rPr>
        <w:t>50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мм 1 шт. В результате указанных действий </w:t>
      </w:r>
      <w:r>
        <w:rPr>
          <w:rFonts w:ascii="Times New Roman" w:eastAsia="Times New Roman" w:hAnsi="Times New Roman" w:cs="Times New Roman"/>
          <w:sz w:val="26"/>
          <w:szCs w:val="26"/>
        </w:rPr>
        <w:t>Иврин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8rplc-1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нарушил 35.1.1, 35.1.3, 35.2, 35.1.2 Правил рыболовства для </w:t>
      </w:r>
      <w:r>
        <w:rPr>
          <w:rFonts w:ascii="Times New Roman" w:eastAsia="Times New Roman" w:hAnsi="Times New Roman" w:cs="Times New Roman"/>
          <w:sz w:val="26"/>
          <w:szCs w:val="26"/>
        </w:rPr>
        <w:t>Западно-Сибирского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рыбохозяйственного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бассейна, утвержденных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Приказом Министерства сельского хозяйства РФ от </w:t>
      </w:r>
      <w:r>
        <w:rPr>
          <w:rStyle w:val="cat-Dategrp-9rplc-2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N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646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6"/>
          <w:szCs w:val="26"/>
        </w:rPr>
        <w:t>Иврин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8rplc-2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не явился, о месте и времени рассмотрения дела извещен надлежащим образом, СМС-извещением. Ходатайство об отложении рассмотрения дела от него не поступило; уважительная причина его неявки судом не установлена. Предоставленной ему возможностью реализовать свое право на судебную защиту как лично, так и через своего представителя, будучи извещенным о судебном </w:t>
      </w:r>
      <w:r>
        <w:rPr>
          <w:rFonts w:ascii="Times New Roman" w:eastAsia="Times New Roman" w:hAnsi="Times New Roman" w:cs="Times New Roman"/>
          <w:sz w:val="26"/>
          <w:szCs w:val="26"/>
        </w:rPr>
        <w:t>заседании,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воспользовался.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</w:t>
      </w:r>
      <w:r>
        <w:rPr>
          <w:rFonts w:ascii="Times New Roman" w:eastAsia="Times New Roman" w:hAnsi="Times New Roman" w:cs="Times New Roman"/>
          <w:sz w:val="26"/>
          <w:szCs w:val="26"/>
        </w:rPr>
        <w:t>лица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Частью 2 статьи 8.37 КоАП РФ предусмотрена административная ответственность за нарушение правил, регламентирующих рыболовство, за исключением случаев, предусмотренных частью 2 статьи 8.17 настоящего Кодекса.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ст.52 Федерального закона от </w:t>
      </w:r>
      <w:r>
        <w:rPr>
          <w:rStyle w:val="cat-Dategrp-10rplc-23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№166-ФЗ «О рыболовстве и сохранении водных биологических ресурсов», лица, совершившие правонарушения в области рыболовства и сохранения водных биоресурсов, несут ответственность в соответствии с законодательством Российской Федерации.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п. 4-5 ч.1 ст.26 Федерального закона «О рыболовстве и сохранении водных биологических ресурсов», в целях обеспечения сохранения водных биоресурсов и их рационального использования могут устанавливаться ограничения рыболовства в отношении вида и количества разрешаемых орудий и способов </w:t>
      </w:r>
      <w:r>
        <w:rPr>
          <w:rFonts w:ascii="Times New Roman" w:eastAsia="Times New Roman" w:hAnsi="Times New Roman" w:cs="Times New Roman"/>
          <w:sz w:val="26"/>
          <w:szCs w:val="26"/>
        </w:rPr>
        <w:t>добычи (вылова) водных биоресурсов; размера ячеи орудий добычи (вылова) водных биоресурсов, размера и конструкции орудий добычи (вылова) водных биоресурсов.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разъяснениями, содержащимися в п.6 Постановления Пленума Верховного Суда РФ от </w:t>
      </w:r>
      <w:r>
        <w:rPr>
          <w:rStyle w:val="cat-Dategrp-11rplc-24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№27 «О практике рассмотрения дел об административных правонарушениях, связанных с нарушением правил добычи (вылова) водных биологических ресурсов и иных правил, регламентирующих осуществление промышленного, прибрежного и других видов рыболовства», к нарушениям правил осуществления рыболовства относятся, в частности, несоблюдение установленных запретов (например, в отношении периода, орудий, способов лова, мест добычи (вылова) при осуществлении любительского и спортивного рыболовства).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силу ст.43.1 Федерального закона №166-ФЗ основой осуществления рыболовства и сохранения водных биоресурсов являются правила рыболовства.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п.35.1.1. Правил рыболовства запрещается добыча (вылов) водных биоресурсов любыми орудиями добычи (вылова), за исключением: на водных объектах </w:t>
      </w:r>
      <w:r>
        <w:rPr>
          <w:rFonts w:ascii="Times New Roman" w:eastAsia="Times New Roman" w:hAnsi="Times New Roman" w:cs="Times New Roman"/>
          <w:sz w:val="26"/>
          <w:szCs w:val="26"/>
        </w:rPr>
        <w:t>рыбохозяйственного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значения общего пользования, а также за пределами рыбопромысловых участков, предоставленных для организации любительского и спортивного рыболовства: летними и зимними удочками всех модификаций с общим количеством крючков (одинарных, двойников или тройников - далее крючков), в том числе крючков на блеснах не более 10 штук на орудиях добычи (вылова) у одного гражданина; спиннингами, фидером, «корабликами», «змеями», </w:t>
      </w:r>
      <w:r>
        <w:rPr>
          <w:rFonts w:ascii="Times New Roman" w:eastAsia="Times New Roman" w:hAnsi="Times New Roman" w:cs="Times New Roman"/>
          <w:sz w:val="26"/>
          <w:szCs w:val="26"/>
        </w:rPr>
        <w:t>нахлыстовыми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удочками с использованием блесен, </w:t>
      </w:r>
      <w:r>
        <w:rPr>
          <w:rFonts w:ascii="Times New Roman" w:eastAsia="Times New Roman" w:hAnsi="Times New Roman" w:cs="Times New Roman"/>
          <w:sz w:val="26"/>
          <w:szCs w:val="26"/>
        </w:rPr>
        <w:t>воблеров</w:t>
      </w:r>
      <w:r>
        <w:rPr>
          <w:rFonts w:ascii="Times New Roman" w:eastAsia="Times New Roman" w:hAnsi="Times New Roman" w:cs="Times New Roman"/>
          <w:sz w:val="26"/>
          <w:szCs w:val="26"/>
        </w:rPr>
        <w:t>, мушек и других приманок; жерлицами и кружками общим количеством не более 10 штук у одного гражданина; закидными удочками («</w:t>
      </w:r>
      <w:r>
        <w:rPr>
          <w:rFonts w:ascii="Times New Roman" w:eastAsia="Times New Roman" w:hAnsi="Times New Roman" w:cs="Times New Roman"/>
          <w:sz w:val="26"/>
          <w:szCs w:val="26"/>
        </w:rPr>
        <w:t>закидушками</w:t>
      </w:r>
      <w:r>
        <w:rPr>
          <w:rFonts w:ascii="Times New Roman" w:eastAsia="Times New Roman" w:hAnsi="Times New Roman" w:cs="Times New Roman"/>
          <w:sz w:val="26"/>
          <w:szCs w:val="26"/>
        </w:rPr>
        <w:t>»), в том числе с использованием резиновых амортизаторов, и переметами с общим количеством крючков не более 10 штук на орудиях добычи (вылова) у одного гражданина; на дорожку (</w:t>
      </w:r>
      <w:r>
        <w:rPr>
          <w:rFonts w:ascii="Times New Roman" w:eastAsia="Times New Roman" w:hAnsi="Times New Roman" w:cs="Times New Roman"/>
          <w:sz w:val="26"/>
          <w:szCs w:val="26"/>
        </w:rPr>
        <w:t>троллингом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);специальными пневматическими ружьями и пистолетами для подводной охоты без использования аквалангов и других автономных дыхательных аппаратов; мелкоячеистыми бреднями (для добычи (вылова) живца) длиной не более 3 м, с размером (шагом) ячеи не более 15 мм; </w:t>
      </w:r>
      <w:r>
        <w:rPr>
          <w:rFonts w:ascii="Times New Roman" w:eastAsia="Times New Roman" w:hAnsi="Times New Roman" w:cs="Times New Roman"/>
          <w:sz w:val="26"/>
          <w:szCs w:val="26"/>
        </w:rPr>
        <w:t>раколовками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количестве не более 5 штук у одного гражданина, с диаметром каждой </w:t>
      </w:r>
      <w:r>
        <w:rPr>
          <w:rFonts w:ascii="Times New Roman" w:eastAsia="Times New Roman" w:hAnsi="Times New Roman" w:cs="Times New Roman"/>
          <w:sz w:val="26"/>
          <w:szCs w:val="26"/>
        </w:rPr>
        <w:t>раколовки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более 80 см.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со статьей 35.2 Правил рыболовства при любительском и спортивном рыболовстве запрещается применение сетных орудий добычи (вылова) из лески (</w:t>
      </w:r>
      <w:r>
        <w:rPr>
          <w:rFonts w:ascii="Times New Roman" w:eastAsia="Times New Roman" w:hAnsi="Times New Roman" w:cs="Times New Roman"/>
          <w:sz w:val="26"/>
          <w:szCs w:val="26"/>
        </w:rPr>
        <w:t>мононити</w:t>
      </w:r>
      <w:r>
        <w:rPr>
          <w:rFonts w:ascii="Times New Roman" w:eastAsia="Times New Roman" w:hAnsi="Times New Roman" w:cs="Times New Roman"/>
          <w:sz w:val="26"/>
          <w:szCs w:val="26"/>
        </w:rPr>
        <w:t>).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Вина </w:t>
      </w:r>
      <w:r>
        <w:rPr>
          <w:rStyle w:val="cat-FIOgrp-15rplc-25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правонарушения подтверждается также следующими доказательствами: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протоколом, с которым ознакомлен.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протоколом изъятия;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план-схемой;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фототаблицей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Указанные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Вина </w:t>
      </w:r>
      <w:r>
        <w:rPr>
          <w:rStyle w:val="cat-FIOgrp-16rplc-26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его действия по факту нарушения правил добычи (вылова) водных биологических ресурсов и иных правил, регламентирующих осуществление промышленного рыболовства, прибрежного рыболовства и других видов рыболовства, нашли свое подтверждение.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мировой судья квалифицирует по ч.2 ст.8.37 Кодекса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Определяя вид и меру наказания нарушителю, суд учитывает его </w:t>
      </w:r>
      <w:r>
        <w:rPr>
          <w:rFonts w:ascii="Times New Roman" w:eastAsia="Times New Roman" w:hAnsi="Times New Roman" w:cs="Times New Roman"/>
          <w:sz w:val="26"/>
          <w:szCs w:val="26"/>
        </w:rPr>
        <w:t>личность,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характер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тяжесть совершенного им правонарушения.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и отягчающих административную </w:t>
      </w:r>
      <w:r>
        <w:rPr>
          <w:rFonts w:ascii="Times New Roman" w:eastAsia="Times New Roman" w:hAnsi="Times New Roman" w:cs="Times New Roman"/>
          <w:sz w:val="26"/>
          <w:szCs w:val="26"/>
        </w:rPr>
        <w:t>ответственность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мировым судьей не установлено.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п.11 Постановления Пленума Верховного суда РФ от </w:t>
      </w:r>
      <w:r>
        <w:rPr>
          <w:rStyle w:val="cat-Dategrp-12rplc-27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№27 «О практике рассмотрения дел об административных правонарушениях, связанных нарушением правил добычи (вылова) водных биологических ресурсов и иных правил, регламентирующих осуществление промышленного, прибрежного и других видов рыболовства», за совершение административного правонарушения, предусмотренного ч.2 ст.8.37 КоАП РФ, дополнительное наказание в виде конфискации может быть назначено лишь в случае нарушения правил добычи (вылова) водных биологических ресурсов и в отношении тех орудий, которые использовались при незаконной добыче (вылове).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связи с вышеизложенным, а также в целях предупреждения совершения повторных правонарушений, мировой суд считает необходимым назначить </w:t>
      </w:r>
      <w:r>
        <w:rPr>
          <w:rFonts w:ascii="Times New Roman" w:eastAsia="Times New Roman" w:hAnsi="Times New Roman" w:cs="Times New Roman"/>
          <w:sz w:val="26"/>
          <w:szCs w:val="26"/>
        </w:rPr>
        <w:t>Иврину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8rplc-2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наказание в виде административного штрафа с конфискацией орудия добычи (вылова) биоресурсов.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ст. ст. 23.1, 29.5, 29.6, 29.10 Кодекса Российской Федерации об административных правонарушениях, мировой судья,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Fonts w:ascii="Times New Roman" w:eastAsia="Times New Roman" w:hAnsi="Times New Roman" w:cs="Times New Roman"/>
          <w:sz w:val="26"/>
          <w:szCs w:val="26"/>
        </w:rPr>
        <w:t>Иврина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6rplc-3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виновным в совершении административного правонарушения, предусмотренного ч.2 ст.8.37 Кодекса Российской Федерации об административных правонарушениях и назначить ему наказание в виде административного штрафа в размере </w:t>
      </w:r>
      <w:r>
        <w:rPr>
          <w:rStyle w:val="cat-Sumgrp-19rplc-32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конфискацией орудия добычи (вылова) водных биологических ресурсов.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Орудие лова –</w:t>
      </w:r>
      <w:r>
        <w:rPr>
          <w:rFonts w:ascii="Times New Roman" w:eastAsia="Times New Roman" w:hAnsi="Times New Roman" w:cs="Times New Roman"/>
          <w:sz w:val="26"/>
          <w:szCs w:val="26"/>
        </w:rPr>
        <w:t>сеть уничтожить.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Уничтожение конфискованного орудия совершения административного правонарушения и водные биологические ресурсы, поручить Межрегиональному территориальному управлению </w:t>
      </w:r>
      <w:r>
        <w:rPr>
          <w:rFonts w:ascii="Times New Roman" w:eastAsia="Times New Roman" w:hAnsi="Times New Roman" w:cs="Times New Roman"/>
          <w:sz w:val="26"/>
          <w:szCs w:val="26"/>
        </w:rPr>
        <w:t>Росимущества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Style w:val="cat-Addressgrp-5rplc-33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Addressgrp-4rplc-34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Ханты-Мансийский </w:t>
      </w:r>
      <w:r>
        <w:rPr>
          <w:rFonts w:ascii="Times New Roman" w:eastAsia="Times New Roman" w:hAnsi="Times New Roman" w:cs="Times New Roman"/>
          <w:sz w:val="26"/>
          <w:szCs w:val="26"/>
        </w:rPr>
        <w:t>районный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суд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через мирового судью в течение 10 дней со дня получения копии постановления.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УФК по </w:t>
      </w:r>
      <w:r>
        <w:rPr>
          <w:rStyle w:val="cat-Addressgrp-6rplc-35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(Департамент административного обеспечения </w:t>
      </w:r>
      <w:r>
        <w:rPr>
          <w:rStyle w:val="cat-Addressgrp-1rplc-36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)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Style w:val="cat-UserDefinedgrp-29rplc-37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  <w:r>
        <w:rPr>
          <w:rStyle w:val="cat-FIOgrp-17rplc-39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>
        <w:rPr>
          <w:rStyle w:val="cat-FIOgrp-17rplc-40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7rplc-1">
    <w:name w:val="cat-Date grp-7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3rplc-3">
    <w:name w:val="cat-FIO grp-13 rplc-3"/>
    <w:basedOn w:val="DefaultParagraphFont"/>
  </w:style>
  <w:style w:type="character" w:customStyle="1" w:styleId="cat-UserDefinedgrp-26rplc-5">
    <w:name w:val="cat-UserDefined grp-26 rplc-5"/>
    <w:basedOn w:val="DefaultParagraphFont"/>
  </w:style>
  <w:style w:type="character" w:customStyle="1" w:styleId="cat-ExternalSystemDefinedgrp-25rplc-6">
    <w:name w:val="cat-ExternalSystemDefined grp-25 rplc-6"/>
    <w:basedOn w:val="DefaultParagraphFont"/>
  </w:style>
  <w:style w:type="character" w:customStyle="1" w:styleId="cat-PassportDatagrp-20rplc-7">
    <w:name w:val="cat-PassportData grp-20 rplc-7"/>
    <w:basedOn w:val="DefaultParagraphFont"/>
  </w:style>
  <w:style w:type="character" w:customStyle="1" w:styleId="cat-Addressgrp-2rplc-8">
    <w:name w:val="cat-Address grp-2 rplc-8"/>
    <w:basedOn w:val="DefaultParagraphFont"/>
  </w:style>
  <w:style w:type="character" w:customStyle="1" w:styleId="cat-PassportDatagrp-21rplc-9">
    <w:name w:val="cat-PassportData grp-21 rplc-9"/>
    <w:basedOn w:val="DefaultParagraphFont"/>
  </w:style>
  <w:style w:type="character" w:customStyle="1" w:styleId="cat-ExternalSystemDefinedgrp-24rplc-10">
    <w:name w:val="cat-ExternalSystemDefined grp-24 rplc-10"/>
    <w:basedOn w:val="DefaultParagraphFont"/>
  </w:style>
  <w:style w:type="character" w:customStyle="1" w:styleId="cat-ExternalSystemDefinedgrp-23rplc-11">
    <w:name w:val="cat-ExternalSystemDefined grp-23 rplc-11"/>
    <w:basedOn w:val="DefaultParagraphFont"/>
  </w:style>
  <w:style w:type="character" w:customStyle="1" w:styleId="cat-Dategrp-8rplc-12">
    <w:name w:val="cat-Date grp-8 rplc-12"/>
    <w:basedOn w:val="DefaultParagraphFont"/>
  </w:style>
  <w:style w:type="character" w:customStyle="1" w:styleId="cat-Timegrp-22rplc-13">
    <w:name w:val="cat-Time grp-22 rplc-13"/>
    <w:basedOn w:val="DefaultParagraphFont"/>
  </w:style>
  <w:style w:type="character" w:customStyle="1" w:styleId="cat-Sumgrp-18rplc-14">
    <w:name w:val="cat-Sum grp-18 rplc-14"/>
    <w:basedOn w:val="DefaultParagraphFont"/>
  </w:style>
  <w:style w:type="character" w:customStyle="1" w:styleId="cat-Addressgrp-3rplc-15">
    <w:name w:val="cat-Address grp-3 rplc-15"/>
    <w:basedOn w:val="DefaultParagraphFont"/>
  </w:style>
  <w:style w:type="character" w:customStyle="1" w:styleId="cat-UserDefinedgrp-27rplc-17">
    <w:name w:val="cat-UserDefined grp-27 rplc-17"/>
    <w:basedOn w:val="DefaultParagraphFont"/>
  </w:style>
  <w:style w:type="character" w:customStyle="1" w:styleId="cat-UserDefinedgrp-28rplc-19">
    <w:name w:val="cat-UserDefined grp-28 rplc-19"/>
    <w:basedOn w:val="DefaultParagraphFont"/>
  </w:style>
  <w:style w:type="character" w:customStyle="1" w:styleId="cat-Dategrp-9rplc-20">
    <w:name w:val="cat-Date grp-9 rplc-20"/>
    <w:basedOn w:val="DefaultParagraphFont"/>
  </w:style>
  <w:style w:type="character" w:customStyle="1" w:styleId="cat-UserDefinedgrp-28rplc-22">
    <w:name w:val="cat-UserDefined grp-28 rplc-22"/>
    <w:basedOn w:val="DefaultParagraphFont"/>
  </w:style>
  <w:style w:type="character" w:customStyle="1" w:styleId="cat-Dategrp-10rplc-23">
    <w:name w:val="cat-Date grp-10 rplc-23"/>
    <w:basedOn w:val="DefaultParagraphFont"/>
  </w:style>
  <w:style w:type="character" w:customStyle="1" w:styleId="cat-Dategrp-11rplc-24">
    <w:name w:val="cat-Date grp-11 rplc-24"/>
    <w:basedOn w:val="DefaultParagraphFont"/>
  </w:style>
  <w:style w:type="character" w:customStyle="1" w:styleId="cat-FIOgrp-15rplc-25">
    <w:name w:val="cat-FIO grp-15 rplc-25"/>
    <w:basedOn w:val="DefaultParagraphFont"/>
  </w:style>
  <w:style w:type="character" w:customStyle="1" w:styleId="cat-FIOgrp-16rplc-26">
    <w:name w:val="cat-FIO grp-16 rplc-26"/>
    <w:basedOn w:val="DefaultParagraphFont"/>
  </w:style>
  <w:style w:type="character" w:customStyle="1" w:styleId="cat-Dategrp-12rplc-27">
    <w:name w:val="cat-Date grp-12 rplc-27"/>
    <w:basedOn w:val="DefaultParagraphFont"/>
  </w:style>
  <w:style w:type="character" w:customStyle="1" w:styleId="cat-UserDefinedgrp-28rplc-29">
    <w:name w:val="cat-UserDefined grp-28 rplc-29"/>
    <w:basedOn w:val="DefaultParagraphFont"/>
  </w:style>
  <w:style w:type="character" w:customStyle="1" w:styleId="cat-UserDefinedgrp-26rplc-31">
    <w:name w:val="cat-UserDefined grp-26 rplc-31"/>
    <w:basedOn w:val="DefaultParagraphFont"/>
  </w:style>
  <w:style w:type="character" w:customStyle="1" w:styleId="cat-Sumgrp-19rplc-32">
    <w:name w:val="cat-Sum grp-19 rplc-32"/>
    <w:basedOn w:val="DefaultParagraphFont"/>
  </w:style>
  <w:style w:type="character" w:customStyle="1" w:styleId="cat-Addressgrp-5rplc-33">
    <w:name w:val="cat-Address grp-5 rplc-33"/>
    <w:basedOn w:val="DefaultParagraphFont"/>
  </w:style>
  <w:style w:type="character" w:customStyle="1" w:styleId="cat-Addressgrp-4rplc-34">
    <w:name w:val="cat-Address grp-4 rplc-34"/>
    <w:basedOn w:val="DefaultParagraphFont"/>
  </w:style>
  <w:style w:type="character" w:customStyle="1" w:styleId="cat-Addressgrp-6rplc-35">
    <w:name w:val="cat-Address grp-6 rplc-35"/>
    <w:basedOn w:val="DefaultParagraphFont"/>
  </w:style>
  <w:style w:type="character" w:customStyle="1" w:styleId="cat-Addressgrp-1rplc-36">
    <w:name w:val="cat-Address grp-1 rplc-36"/>
    <w:basedOn w:val="DefaultParagraphFont"/>
  </w:style>
  <w:style w:type="character" w:customStyle="1" w:styleId="cat-UserDefinedgrp-29rplc-37">
    <w:name w:val="cat-UserDefined grp-29 rplc-37"/>
    <w:basedOn w:val="DefaultParagraphFont"/>
  </w:style>
  <w:style w:type="character" w:customStyle="1" w:styleId="cat-FIOgrp-17rplc-39">
    <w:name w:val="cat-FIO grp-17 rplc-39"/>
    <w:basedOn w:val="DefaultParagraphFont"/>
  </w:style>
  <w:style w:type="character" w:customStyle="1" w:styleId="cat-FIOgrp-17rplc-40">
    <w:name w:val="cat-FIO grp-17 rplc-4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192.168.50.125\justice\judge_3\judge_3\&#1040;&#1044;&#1052;&#1048;&#1053;&#1048;&#1057;&#1058;&#1056;&#1040;&#1058;&#1048;&#1042;&#1050;&#1040;\23.08.2013\4788%20&#1074;&#1077;&#1085;&#1075;&#1086;%2020.25.doc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